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8550" w14:textId="71988967" w:rsidR="001D08AE" w:rsidRDefault="001D08AE" w:rsidP="001D08AE">
      <w:pPr>
        <w:jc w:val="left"/>
        <w:rPr>
          <w:rFonts w:ascii="Algerian" w:hAnsi="Algerian" w:cs="FrankRuehl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DC3154" wp14:editId="315D0F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3450" cy="709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65F73" w14:textId="77777777" w:rsidR="001D08AE" w:rsidRDefault="001D08AE" w:rsidP="00F309C6">
      <w:pPr>
        <w:jc w:val="center"/>
        <w:rPr>
          <w:rFonts w:ascii="Algerian" w:hAnsi="Algerian" w:cs="FrankRuehl"/>
          <w:b/>
          <w:sz w:val="40"/>
          <w:szCs w:val="40"/>
          <w:u w:val="single"/>
        </w:rPr>
      </w:pPr>
    </w:p>
    <w:p w14:paraId="6A7C510D" w14:textId="037F3A82" w:rsidR="00203B9D" w:rsidRDefault="00F309C6" w:rsidP="00F309C6">
      <w:pPr>
        <w:jc w:val="center"/>
        <w:rPr>
          <w:rFonts w:ascii="Algerian" w:hAnsi="Algerian" w:cs="FrankRuehl"/>
          <w:b/>
          <w:sz w:val="40"/>
          <w:szCs w:val="40"/>
          <w:u w:val="single"/>
        </w:rPr>
      </w:pPr>
      <w:r w:rsidRPr="00F309C6">
        <w:rPr>
          <w:rFonts w:ascii="Algerian" w:hAnsi="Algerian" w:cs="FrankRuehl"/>
          <w:b/>
          <w:sz w:val="40"/>
          <w:szCs w:val="40"/>
          <w:u w:val="single"/>
        </w:rPr>
        <w:t xml:space="preserve">SIGMA PI PHI, GAMMA OMICRON </w:t>
      </w:r>
      <w:r w:rsidR="009E2E28">
        <w:rPr>
          <w:rFonts w:ascii="Algerian" w:hAnsi="Algerian" w:cs="FrankRuehl"/>
          <w:b/>
          <w:sz w:val="40"/>
          <w:szCs w:val="40"/>
          <w:u w:val="single"/>
        </w:rPr>
        <w:t>BOULÉ</w:t>
      </w:r>
      <w:r w:rsidRPr="00F309C6">
        <w:rPr>
          <w:rFonts w:ascii="Algerian" w:hAnsi="Algerian" w:cs="FrankRuehl"/>
          <w:b/>
          <w:sz w:val="40"/>
          <w:szCs w:val="40"/>
          <w:u w:val="single"/>
        </w:rPr>
        <w:t xml:space="preserve"> MEMORIAL SCHOLARSHIP NOTICE</w:t>
      </w:r>
    </w:p>
    <w:p w14:paraId="3E3E4E2B" w14:textId="77777777" w:rsidR="00F309C6" w:rsidRDefault="00F309C6" w:rsidP="00F309C6">
      <w:pPr>
        <w:jc w:val="center"/>
        <w:rPr>
          <w:rFonts w:cs="FrankRuehl"/>
          <w:sz w:val="40"/>
          <w:szCs w:val="40"/>
          <w:u w:val="single"/>
        </w:rPr>
      </w:pPr>
    </w:p>
    <w:p w14:paraId="7749976B" w14:textId="474375A4" w:rsidR="00F309C6" w:rsidRPr="00255A2C" w:rsidRDefault="00F309C6" w:rsidP="00F309C6">
      <w:pPr>
        <w:rPr>
          <w:rFonts w:cs="FrankRuehl"/>
          <w:sz w:val="28"/>
          <w:szCs w:val="28"/>
        </w:rPr>
      </w:pPr>
      <w:r w:rsidRPr="00255A2C">
        <w:rPr>
          <w:rFonts w:cs="FrankRuehl"/>
          <w:sz w:val="28"/>
          <w:szCs w:val="28"/>
        </w:rPr>
        <w:t xml:space="preserve">Please be advised that the Gamma Omicron </w:t>
      </w:r>
      <w:proofErr w:type="spellStart"/>
      <w:r w:rsidR="009E2E28">
        <w:rPr>
          <w:rFonts w:cs="FrankRuehl"/>
          <w:sz w:val="28"/>
          <w:szCs w:val="28"/>
        </w:rPr>
        <w:t>Boulé</w:t>
      </w:r>
      <w:proofErr w:type="spellEnd"/>
      <w:r w:rsidRPr="00255A2C">
        <w:rPr>
          <w:rFonts w:cs="FrankRuehl"/>
          <w:sz w:val="28"/>
          <w:szCs w:val="28"/>
        </w:rPr>
        <w:t xml:space="preserve"> of Sigma Pi Phi </w:t>
      </w:r>
      <w:r w:rsidR="009E2E28">
        <w:rPr>
          <w:rFonts w:cs="FrankRuehl"/>
          <w:sz w:val="28"/>
          <w:szCs w:val="28"/>
        </w:rPr>
        <w:t xml:space="preserve">Fraternity </w:t>
      </w:r>
      <w:r w:rsidRPr="00255A2C">
        <w:rPr>
          <w:rFonts w:cs="FrankRuehl"/>
          <w:sz w:val="28"/>
          <w:szCs w:val="28"/>
        </w:rPr>
        <w:t xml:space="preserve">is currently accepting applications for its </w:t>
      </w:r>
      <w:proofErr w:type="spellStart"/>
      <w:r w:rsidR="009E2E28">
        <w:rPr>
          <w:rFonts w:cs="FrankRuehl"/>
          <w:sz w:val="28"/>
          <w:szCs w:val="28"/>
        </w:rPr>
        <w:t>Boulé</w:t>
      </w:r>
      <w:proofErr w:type="spellEnd"/>
      <w:r w:rsidRPr="00255A2C">
        <w:rPr>
          <w:rFonts w:cs="FrankRuehl"/>
          <w:sz w:val="28"/>
          <w:szCs w:val="28"/>
        </w:rPr>
        <w:t xml:space="preserve"> Memorial Scholarship. </w:t>
      </w:r>
      <w:r w:rsidR="0096191B" w:rsidRPr="00255A2C">
        <w:rPr>
          <w:rFonts w:cs="FrankRuehl"/>
          <w:sz w:val="28"/>
          <w:szCs w:val="28"/>
        </w:rPr>
        <w:t xml:space="preserve">We are again partnering with the Boys and Girls Club of Tampa Bay to provide a $2,000.00 annual college scholarship </w:t>
      </w:r>
      <w:r w:rsidR="001D7269">
        <w:rPr>
          <w:rFonts w:cs="FrankRuehl"/>
          <w:sz w:val="28"/>
          <w:szCs w:val="28"/>
        </w:rPr>
        <w:t>to be awarded to selected African-A</w:t>
      </w:r>
      <w:r w:rsidR="0064497A">
        <w:rPr>
          <w:rFonts w:cs="FrankRuehl"/>
          <w:sz w:val="28"/>
          <w:szCs w:val="28"/>
        </w:rPr>
        <w:t>merican upcoming college freshme</w:t>
      </w:r>
      <w:r w:rsidR="001D7269">
        <w:rPr>
          <w:rFonts w:cs="FrankRuehl"/>
          <w:sz w:val="28"/>
          <w:szCs w:val="28"/>
        </w:rPr>
        <w:t>n</w:t>
      </w:r>
      <w:r w:rsidR="006E1C88">
        <w:rPr>
          <w:rFonts w:cs="FrankRuehl"/>
          <w:sz w:val="28"/>
          <w:szCs w:val="28"/>
        </w:rPr>
        <w:t xml:space="preserve"> males</w:t>
      </w:r>
      <w:r w:rsidR="001D7269">
        <w:rPr>
          <w:rFonts w:cs="FrankRuehl"/>
          <w:sz w:val="28"/>
          <w:szCs w:val="28"/>
        </w:rPr>
        <w:t xml:space="preserve"> </w:t>
      </w:r>
      <w:r w:rsidR="0096191B" w:rsidRPr="00255A2C">
        <w:rPr>
          <w:rFonts w:cs="FrankRuehl"/>
          <w:sz w:val="28"/>
          <w:szCs w:val="28"/>
        </w:rPr>
        <w:t>for four (4) years</w:t>
      </w:r>
      <w:r w:rsidR="001D7269">
        <w:rPr>
          <w:rFonts w:cs="FrankRuehl"/>
          <w:sz w:val="28"/>
          <w:szCs w:val="28"/>
        </w:rPr>
        <w:t>.</w:t>
      </w:r>
    </w:p>
    <w:p w14:paraId="5D42CEDE" w14:textId="77777777" w:rsidR="0096191B" w:rsidRPr="00255A2C" w:rsidRDefault="0096191B" w:rsidP="00F309C6">
      <w:pPr>
        <w:rPr>
          <w:rFonts w:cs="FrankRuehl"/>
          <w:sz w:val="28"/>
          <w:szCs w:val="28"/>
        </w:rPr>
      </w:pPr>
    </w:p>
    <w:p w14:paraId="6707032C" w14:textId="4C2895D9" w:rsidR="0096191B" w:rsidRPr="00255A2C" w:rsidRDefault="0096191B" w:rsidP="00F309C6">
      <w:pPr>
        <w:rPr>
          <w:rFonts w:cs="FrankRuehl"/>
          <w:sz w:val="28"/>
          <w:szCs w:val="28"/>
        </w:rPr>
      </w:pPr>
      <w:r w:rsidRPr="00255A2C">
        <w:rPr>
          <w:rFonts w:cs="FrankRuehl"/>
          <w:sz w:val="28"/>
          <w:szCs w:val="28"/>
        </w:rPr>
        <w:t>All candidates for the scholarship must be high school seniors with a minimum cumulative GPA of 2.5. Each candidate must submit the following</w:t>
      </w:r>
      <w:r w:rsidR="008D5B02">
        <w:rPr>
          <w:rFonts w:cs="FrankRuehl"/>
          <w:sz w:val="28"/>
          <w:szCs w:val="28"/>
        </w:rPr>
        <w:t xml:space="preserve"> in one complete electronic document/file</w:t>
      </w:r>
      <w:r w:rsidRPr="00255A2C">
        <w:rPr>
          <w:rFonts w:cs="FrankRuehl"/>
          <w:sz w:val="28"/>
          <w:szCs w:val="28"/>
        </w:rPr>
        <w:t>:</w:t>
      </w:r>
    </w:p>
    <w:p w14:paraId="131197BD" w14:textId="77777777" w:rsidR="0096191B" w:rsidRPr="00255A2C" w:rsidRDefault="0096191B" w:rsidP="00F309C6">
      <w:pPr>
        <w:rPr>
          <w:rFonts w:cs="FrankRuehl"/>
          <w:sz w:val="28"/>
          <w:szCs w:val="28"/>
        </w:rPr>
      </w:pPr>
    </w:p>
    <w:p w14:paraId="24F6DE97" w14:textId="7090601B" w:rsidR="0096191B" w:rsidRPr="00255A2C" w:rsidRDefault="0096191B" w:rsidP="0096191B">
      <w:pPr>
        <w:pStyle w:val="ListParagraph"/>
        <w:numPr>
          <w:ilvl w:val="0"/>
          <w:numId w:val="1"/>
        </w:numPr>
        <w:rPr>
          <w:rFonts w:cs="FrankRuehl"/>
          <w:sz w:val="28"/>
          <w:szCs w:val="28"/>
        </w:rPr>
      </w:pPr>
      <w:r w:rsidRPr="00255A2C">
        <w:rPr>
          <w:rFonts w:cs="FrankRuehl"/>
          <w:sz w:val="28"/>
          <w:szCs w:val="28"/>
        </w:rPr>
        <w:t xml:space="preserve">A cover letter addressed to the Gamma Omicron </w:t>
      </w:r>
      <w:proofErr w:type="spellStart"/>
      <w:r w:rsidR="009E2E28">
        <w:rPr>
          <w:rFonts w:cs="FrankRuehl"/>
          <w:sz w:val="28"/>
          <w:szCs w:val="28"/>
        </w:rPr>
        <w:t>Boulé</w:t>
      </w:r>
      <w:proofErr w:type="spellEnd"/>
      <w:r w:rsidRPr="00255A2C">
        <w:rPr>
          <w:rFonts w:cs="FrankRuehl"/>
          <w:sz w:val="28"/>
          <w:szCs w:val="28"/>
        </w:rPr>
        <w:t>;</w:t>
      </w:r>
    </w:p>
    <w:p w14:paraId="2DC611C9" w14:textId="66483F63" w:rsidR="0096191B" w:rsidRPr="00255A2C" w:rsidRDefault="0096191B" w:rsidP="0096191B">
      <w:pPr>
        <w:pStyle w:val="ListParagraph"/>
        <w:numPr>
          <w:ilvl w:val="0"/>
          <w:numId w:val="1"/>
        </w:numPr>
        <w:rPr>
          <w:rFonts w:cs="FrankRuehl"/>
          <w:sz w:val="28"/>
          <w:szCs w:val="28"/>
        </w:rPr>
      </w:pPr>
      <w:r w:rsidRPr="00255A2C">
        <w:rPr>
          <w:rFonts w:cs="FrankRuehl"/>
          <w:sz w:val="28"/>
          <w:szCs w:val="28"/>
        </w:rPr>
        <w:t>Resume</w:t>
      </w:r>
      <w:r w:rsidR="00B765D9">
        <w:rPr>
          <w:rFonts w:cs="FrankRuehl"/>
          <w:sz w:val="28"/>
          <w:szCs w:val="28"/>
        </w:rPr>
        <w:t>/Vita with explanation extra-curricular activities and volunteerism</w:t>
      </w:r>
    </w:p>
    <w:p w14:paraId="22A51813" w14:textId="1BA28AD1" w:rsidR="0096191B" w:rsidRPr="00255A2C" w:rsidRDefault="0096191B" w:rsidP="0096191B">
      <w:pPr>
        <w:pStyle w:val="ListParagraph"/>
        <w:numPr>
          <w:ilvl w:val="0"/>
          <w:numId w:val="1"/>
        </w:numPr>
        <w:rPr>
          <w:rFonts w:cs="FrankRuehl"/>
          <w:sz w:val="28"/>
          <w:szCs w:val="28"/>
        </w:rPr>
      </w:pPr>
      <w:r w:rsidRPr="00255A2C">
        <w:rPr>
          <w:rFonts w:cs="FrankRuehl"/>
          <w:sz w:val="28"/>
          <w:szCs w:val="28"/>
        </w:rPr>
        <w:t xml:space="preserve">Two (2) letters of recommendation from an </w:t>
      </w:r>
      <w:r w:rsidR="00B765D9">
        <w:rPr>
          <w:rFonts w:cs="FrankRuehl"/>
          <w:sz w:val="28"/>
          <w:szCs w:val="28"/>
        </w:rPr>
        <w:t xml:space="preserve">administrator, </w:t>
      </w:r>
      <w:r w:rsidRPr="00255A2C">
        <w:rPr>
          <w:rFonts w:cs="FrankRuehl"/>
          <w:sz w:val="28"/>
          <w:szCs w:val="28"/>
        </w:rPr>
        <w:t>educator</w:t>
      </w:r>
      <w:r w:rsidR="00B765D9">
        <w:rPr>
          <w:rFonts w:cs="FrankRuehl"/>
          <w:sz w:val="28"/>
          <w:szCs w:val="28"/>
        </w:rPr>
        <w:t xml:space="preserve">, </w:t>
      </w:r>
      <w:r w:rsidRPr="00255A2C">
        <w:rPr>
          <w:rFonts w:cs="FrankRuehl"/>
          <w:sz w:val="28"/>
          <w:szCs w:val="28"/>
        </w:rPr>
        <w:t>counselor</w:t>
      </w:r>
      <w:r w:rsidR="00B765D9">
        <w:rPr>
          <w:rFonts w:cs="FrankRuehl"/>
          <w:sz w:val="28"/>
          <w:szCs w:val="28"/>
        </w:rPr>
        <w:t>/mentor</w:t>
      </w:r>
      <w:r w:rsidRPr="00255A2C">
        <w:rPr>
          <w:rFonts w:cs="FrankRuehl"/>
          <w:sz w:val="28"/>
          <w:szCs w:val="28"/>
        </w:rPr>
        <w:t xml:space="preserve"> or coach;</w:t>
      </w:r>
    </w:p>
    <w:p w14:paraId="12408ED8" w14:textId="4C40272E" w:rsidR="002713EA" w:rsidRPr="00B765D9" w:rsidRDefault="0096191B" w:rsidP="00B765D9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255A2C">
        <w:rPr>
          <w:rFonts w:cs="FrankRuehl"/>
          <w:sz w:val="28"/>
          <w:szCs w:val="28"/>
        </w:rPr>
        <w:t>A 500-word essay on the</w:t>
      </w:r>
      <w:r w:rsidR="00B765D9">
        <w:rPr>
          <w:rFonts w:cs="FrankRuehl"/>
          <w:sz w:val="28"/>
          <w:szCs w:val="28"/>
        </w:rPr>
        <w:t>2023 Black History Month theme of</w:t>
      </w:r>
      <w:r w:rsidR="00B765D9">
        <w:rPr>
          <w:rFonts w:ascii="Helvetica" w:hAnsi="Helvetica" w:cs="Helvetica"/>
          <w:color w:val="222222"/>
          <w:sz w:val="29"/>
          <w:szCs w:val="29"/>
          <w:shd w:val="clear" w:color="auto" w:fill="FFFFFF"/>
        </w:rPr>
        <w:t> </w:t>
      </w:r>
      <w:hyperlink r:id="rId9" w:tgtFrame="_blank" w:history="1">
        <w:r w:rsidR="00B765D9" w:rsidRPr="00B765D9">
          <w:rPr>
            <w:rStyle w:val="Hyperlink"/>
            <w:rFonts w:cs="Times New Roman"/>
            <w:color w:val="A20021"/>
            <w:sz w:val="29"/>
            <w:szCs w:val="29"/>
            <w:shd w:val="clear" w:color="auto" w:fill="FFFFFF"/>
          </w:rPr>
          <w:t>Black Resistance</w:t>
        </w:r>
      </w:hyperlink>
      <w:r w:rsidR="00B765D9" w:rsidRPr="00B765D9">
        <w:rPr>
          <w:rFonts w:cs="Times New Roman"/>
          <w:color w:val="222222"/>
          <w:sz w:val="29"/>
          <w:szCs w:val="29"/>
          <w:shd w:val="clear" w:color="auto" w:fill="FFFFFF"/>
        </w:rPr>
        <w:t>. The theme explores how “African Americans have resisted historic and ongoing oppression, in all forms, especially the racial terrorism of lynching, racial pogroms, and police killings.”</w:t>
      </w:r>
    </w:p>
    <w:p w14:paraId="3EFA96BA" w14:textId="1C0C98C4" w:rsidR="001D7269" w:rsidRDefault="001D7269" w:rsidP="0096191B">
      <w:pPr>
        <w:pStyle w:val="ListParagraph"/>
        <w:numPr>
          <w:ilvl w:val="0"/>
          <w:numId w:val="1"/>
        </w:num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Copy of your ACT and/or SAT scores.</w:t>
      </w:r>
    </w:p>
    <w:p w14:paraId="2E753397" w14:textId="5F8D2F31" w:rsidR="0096191B" w:rsidRPr="001D08AE" w:rsidRDefault="008D5B02" w:rsidP="0096191B">
      <w:pPr>
        <w:pStyle w:val="ListParagraph"/>
        <w:numPr>
          <w:ilvl w:val="0"/>
          <w:numId w:val="1"/>
        </w:numPr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A copy of high school transcript.</w:t>
      </w:r>
    </w:p>
    <w:p w14:paraId="46157AE4" w14:textId="77777777" w:rsidR="001D7269" w:rsidRPr="00255A2C" w:rsidRDefault="001D7269" w:rsidP="0096191B">
      <w:pPr>
        <w:rPr>
          <w:rFonts w:cs="FrankRuehl"/>
          <w:sz w:val="28"/>
          <w:szCs w:val="28"/>
        </w:rPr>
      </w:pPr>
    </w:p>
    <w:p w14:paraId="41185E4F" w14:textId="287E71A4" w:rsidR="00255A2C" w:rsidRPr="00255A2C" w:rsidRDefault="00255A2C" w:rsidP="0096191B">
      <w:pPr>
        <w:rPr>
          <w:rFonts w:cs="FrankRuehl"/>
          <w:sz w:val="28"/>
          <w:szCs w:val="28"/>
        </w:rPr>
      </w:pPr>
      <w:r w:rsidRPr="00255A2C">
        <w:rPr>
          <w:rFonts w:cs="FrankRuehl"/>
          <w:sz w:val="28"/>
          <w:szCs w:val="28"/>
        </w:rPr>
        <w:t xml:space="preserve">All complete candidate scholarship packets must be e-mailed by </w:t>
      </w:r>
      <w:r w:rsidR="00627D83">
        <w:rPr>
          <w:rFonts w:cs="FrankRuehl"/>
          <w:b/>
          <w:sz w:val="28"/>
          <w:szCs w:val="28"/>
          <w:u w:val="single"/>
        </w:rPr>
        <w:t xml:space="preserve">April </w:t>
      </w:r>
      <w:r w:rsidR="008C629A">
        <w:rPr>
          <w:rFonts w:cs="FrankRuehl"/>
          <w:b/>
          <w:sz w:val="28"/>
          <w:szCs w:val="28"/>
          <w:u w:val="single"/>
        </w:rPr>
        <w:t>30</w:t>
      </w:r>
      <w:r w:rsidRPr="00255A2C">
        <w:rPr>
          <w:rFonts w:cs="FrankRuehl"/>
          <w:b/>
          <w:sz w:val="28"/>
          <w:szCs w:val="28"/>
          <w:u w:val="single"/>
        </w:rPr>
        <w:t>, 20</w:t>
      </w:r>
      <w:r w:rsidR="00D510A7">
        <w:rPr>
          <w:rFonts w:cs="FrankRuehl"/>
          <w:b/>
          <w:sz w:val="28"/>
          <w:szCs w:val="28"/>
          <w:u w:val="single"/>
        </w:rPr>
        <w:t>2</w:t>
      </w:r>
      <w:r w:rsidR="00B765D9">
        <w:rPr>
          <w:rFonts w:cs="FrankRuehl"/>
          <w:b/>
          <w:sz w:val="28"/>
          <w:szCs w:val="28"/>
          <w:u w:val="single"/>
        </w:rPr>
        <w:t>3</w:t>
      </w:r>
      <w:r w:rsidR="006E1C88">
        <w:rPr>
          <w:rFonts w:cs="FrankRuehl"/>
          <w:sz w:val="28"/>
          <w:szCs w:val="28"/>
        </w:rPr>
        <w:t>, to</w:t>
      </w:r>
      <w:r w:rsidRPr="00255A2C">
        <w:rPr>
          <w:rFonts w:cs="FrankRuehl"/>
          <w:sz w:val="28"/>
          <w:szCs w:val="28"/>
        </w:rPr>
        <w:t>:</w:t>
      </w:r>
    </w:p>
    <w:p w14:paraId="5EE6E29A" w14:textId="77777777" w:rsidR="00255A2C" w:rsidRPr="00255A2C" w:rsidRDefault="00255A2C" w:rsidP="0096191B">
      <w:pPr>
        <w:rPr>
          <w:rFonts w:cs="FrankRuehl"/>
          <w:sz w:val="28"/>
          <w:szCs w:val="28"/>
        </w:rPr>
      </w:pPr>
    </w:p>
    <w:p w14:paraId="5A9008FB" w14:textId="23ED825A" w:rsidR="00255A2C" w:rsidRPr="00255A2C" w:rsidRDefault="00255A2C" w:rsidP="006E1C88">
      <w:pPr>
        <w:ind w:left="720" w:firstLine="720"/>
        <w:rPr>
          <w:rFonts w:cs="FrankRuehl"/>
          <w:sz w:val="28"/>
          <w:szCs w:val="28"/>
        </w:rPr>
      </w:pPr>
      <w:r w:rsidRPr="00255A2C">
        <w:rPr>
          <w:rFonts w:cs="FrankRuehl"/>
          <w:sz w:val="28"/>
          <w:szCs w:val="28"/>
        </w:rPr>
        <w:t>Archon</w:t>
      </w:r>
      <w:r w:rsidR="00D510A7">
        <w:rPr>
          <w:rFonts w:cs="FrankRuehl"/>
          <w:sz w:val="28"/>
          <w:szCs w:val="28"/>
        </w:rPr>
        <w:t xml:space="preserve"> Willie B. Fel</w:t>
      </w:r>
      <w:r w:rsidRPr="00255A2C">
        <w:rPr>
          <w:rFonts w:cs="FrankRuehl"/>
          <w:sz w:val="28"/>
          <w:szCs w:val="28"/>
        </w:rPr>
        <w:t>ton</w:t>
      </w:r>
      <w:r w:rsidR="00D510A7">
        <w:rPr>
          <w:rFonts w:cs="FrankRuehl"/>
          <w:sz w:val="28"/>
          <w:szCs w:val="28"/>
        </w:rPr>
        <w:t>, Jr.</w:t>
      </w:r>
      <w:r w:rsidRPr="00255A2C">
        <w:rPr>
          <w:rFonts w:cs="FrankRuehl"/>
          <w:sz w:val="28"/>
          <w:szCs w:val="28"/>
        </w:rPr>
        <w:t xml:space="preserve"> at </w:t>
      </w:r>
      <w:hyperlink r:id="rId10" w:history="1">
        <w:r w:rsidR="00D510A7" w:rsidRPr="002515E9">
          <w:rPr>
            <w:rStyle w:val="Hyperlink"/>
            <w:rFonts w:cs="FrankRuehl"/>
            <w:sz w:val="28"/>
            <w:szCs w:val="28"/>
          </w:rPr>
          <w:t>wbfelton@yahoo.com</w:t>
        </w:r>
      </w:hyperlink>
      <w:r w:rsidRPr="00255A2C">
        <w:rPr>
          <w:rFonts w:cs="FrankRuehl"/>
          <w:sz w:val="28"/>
          <w:szCs w:val="28"/>
        </w:rPr>
        <w:t xml:space="preserve">; </w:t>
      </w:r>
      <w:r w:rsidR="007B589A">
        <w:rPr>
          <w:rFonts w:cs="FrankRuehl"/>
          <w:sz w:val="28"/>
          <w:szCs w:val="28"/>
        </w:rPr>
        <w:t xml:space="preserve">or </w:t>
      </w:r>
    </w:p>
    <w:p w14:paraId="62B5799F" w14:textId="53A080D1" w:rsidR="00255A2C" w:rsidRPr="00255A2C" w:rsidRDefault="00255A2C" w:rsidP="00255A2C">
      <w:pPr>
        <w:ind w:firstLine="720"/>
        <w:rPr>
          <w:rFonts w:cs="FrankRuehl"/>
          <w:sz w:val="28"/>
          <w:szCs w:val="28"/>
        </w:rPr>
      </w:pPr>
    </w:p>
    <w:p w14:paraId="6707ACF0" w14:textId="18B34506" w:rsidR="0096191B" w:rsidRPr="00255A2C" w:rsidRDefault="00255A2C" w:rsidP="006E1C88">
      <w:pPr>
        <w:ind w:left="720" w:firstLine="720"/>
        <w:rPr>
          <w:rFonts w:cs="FrankRuehl"/>
          <w:sz w:val="28"/>
          <w:szCs w:val="28"/>
        </w:rPr>
      </w:pPr>
      <w:r w:rsidRPr="00255A2C">
        <w:rPr>
          <w:rFonts w:cs="FrankRuehl"/>
          <w:sz w:val="28"/>
          <w:szCs w:val="28"/>
        </w:rPr>
        <w:t xml:space="preserve">Archon </w:t>
      </w:r>
      <w:r w:rsidR="007B589A">
        <w:rPr>
          <w:rFonts w:cs="FrankRuehl"/>
          <w:sz w:val="28"/>
          <w:szCs w:val="28"/>
        </w:rPr>
        <w:t>Lawrence Hamilton</w:t>
      </w:r>
      <w:r w:rsidRPr="00255A2C">
        <w:rPr>
          <w:rFonts w:cs="FrankRuehl"/>
          <w:sz w:val="28"/>
          <w:szCs w:val="28"/>
        </w:rPr>
        <w:t xml:space="preserve"> at </w:t>
      </w:r>
      <w:hyperlink r:id="rId11" w:history="1">
        <w:r w:rsidR="007B589A" w:rsidRPr="00C97383">
          <w:rPr>
            <w:rStyle w:val="Hyperlink"/>
            <w:rFonts w:cs="FrankRuehl"/>
            <w:sz w:val="28"/>
            <w:szCs w:val="28"/>
          </w:rPr>
          <w:t>lh61557@aol.com</w:t>
        </w:r>
      </w:hyperlink>
      <w:r w:rsidRPr="00255A2C">
        <w:rPr>
          <w:rFonts w:cs="FrankRuehl"/>
          <w:sz w:val="28"/>
          <w:szCs w:val="28"/>
        </w:rPr>
        <w:t>.</w:t>
      </w:r>
    </w:p>
    <w:p w14:paraId="2C826DC6" w14:textId="77777777" w:rsidR="00255A2C" w:rsidRPr="00255A2C" w:rsidRDefault="00255A2C" w:rsidP="00255A2C">
      <w:pPr>
        <w:ind w:firstLine="720"/>
        <w:rPr>
          <w:rFonts w:cs="FrankRuehl"/>
          <w:sz w:val="28"/>
          <w:szCs w:val="28"/>
        </w:rPr>
      </w:pPr>
    </w:p>
    <w:p w14:paraId="22B9FEB4" w14:textId="77777777" w:rsidR="00255A2C" w:rsidRDefault="00255A2C" w:rsidP="00255A2C">
      <w:pPr>
        <w:rPr>
          <w:rFonts w:cs="FrankRuehl"/>
          <w:sz w:val="28"/>
          <w:szCs w:val="28"/>
        </w:rPr>
      </w:pPr>
      <w:r w:rsidRPr="00255A2C">
        <w:rPr>
          <w:rFonts w:cs="FrankRuehl"/>
          <w:sz w:val="28"/>
          <w:szCs w:val="28"/>
        </w:rPr>
        <w:t xml:space="preserve">The submission format must be consistent and received by the deadline. </w:t>
      </w:r>
      <w:r w:rsidRPr="00255A2C">
        <w:rPr>
          <w:rFonts w:cs="FrankRuehl"/>
          <w:b/>
          <w:i/>
          <w:sz w:val="28"/>
          <w:szCs w:val="28"/>
          <w:u w:val="single"/>
        </w:rPr>
        <w:t>THERE WILL BE NO EXCEPTIONS GRANTED</w:t>
      </w:r>
      <w:r w:rsidRPr="00255A2C">
        <w:rPr>
          <w:rFonts w:cs="FrankRuehl"/>
          <w:sz w:val="28"/>
          <w:szCs w:val="28"/>
        </w:rPr>
        <w:t>.</w:t>
      </w:r>
    </w:p>
    <w:p w14:paraId="546CF497" w14:textId="77777777" w:rsidR="001D7269" w:rsidRDefault="001D7269" w:rsidP="00255A2C">
      <w:pPr>
        <w:rPr>
          <w:rFonts w:cs="FrankRuehl"/>
          <w:sz w:val="28"/>
          <w:szCs w:val="28"/>
        </w:rPr>
      </w:pPr>
    </w:p>
    <w:p w14:paraId="7AE09E99" w14:textId="6DAE16FF" w:rsidR="001D7269" w:rsidRPr="00B765D9" w:rsidRDefault="001D7269" w:rsidP="00B765D9">
      <w:pPr>
        <w:jc w:val="center"/>
        <w:rPr>
          <w:rFonts w:ascii="Algerian" w:hAnsi="Algerian" w:cs="FrankRuehl"/>
          <w:b/>
          <w:sz w:val="40"/>
          <w:szCs w:val="40"/>
        </w:rPr>
      </w:pPr>
    </w:p>
    <w:sectPr w:rsidR="001D7269" w:rsidRPr="00B765D9" w:rsidSect="00B765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4083" w14:textId="77777777" w:rsidR="00F227FB" w:rsidRDefault="00F227FB" w:rsidP="00C3677D">
      <w:r>
        <w:separator/>
      </w:r>
    </w:p>
  </w:endnote>
  <w:endnote w:type="continuationSeparator" w:id="0">
    <w:p w14:paraId="53B33EE4" w14:textId="77777777" w:rsidR="00F227FB" w:rsidRDefault="00F227FB" w:rsidP="00C3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78D4" w14:textId="77777777" w:rsidR="00203B9D" w:rsidRDefault="00203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AAFC" w14:textId="77777777" w:rsidR="008F71C3" w:rsidRPr="00C3677D" w:rsidRDefault="006E1C88" w:rsidP="00C3677D">
    <w:pPr>
      <w:pStyle w:val="Footer"/>
      <w:jc w:val="left"/>
    </w:pPr>
    <w:r w:rsidRPr="006E1C88">
      <w:rPr>
        <w:noProof/>
        <w:vanish/>
        <w:sz w:val="12"/>
      </w:rPr>
      <w:t>{</w:t>
    </w:r>
    <w:r w:rsidRPr="006E1C88">
      <w:rPr>
        <w:noProof/>
        <w:sz w:val="12"/>
      </w:rPr>
      <w:t xml:space="preserve">01175885-1 </w:t>
    </w:r>
    <w:r w:rsidRPr="006E1C88">
      <w:rPr>
        <w:noProof/>
        <w:vanish/>
        <w:sz w:val="12"/>
      </w:rPr>
      <w:t>}</w:t>
    </w:r>
    <w:r w:rsidR="008F71C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2611" w14:textId="77777777" w:rsidR="00203B9D" w:rsidRPr="00203B9D" w:rsidRDefault="006E1C88" w:rsidP="00203B9D">
    <w:pPr>
      <w:pStyle w:val="Footer"/>
      <w:jc w:val="left"/>
    </w:pPr>
    <w:r w:rsidRPr="006E1C88">
      <w:rPr>
        <w:noProof/>
        <w:vanish/>
        <w:sz w:val="12"/>
      </w:rPr>
      <w:t>{</w:t>
    </w:r>
    <w:r w:rsidRPr="006E1C88">
      <w:rPr>
        <w:noProof/>
        <w:sz w:val="12"/>
      </w:rPr>
      <w:t xml:space="preserve">01175885-1 </w:t>
    </w:r>
    <w:r w:rsidRPr="006E1C88">
      <w:rPr>
        <w:noProof/>
        <w:vanish/>
        <w:sz w:val="12"/>
      </w:rPr>
      <w:t>}</w:t>
    </w:r>
    <w:r w:rsidR="00203B9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E473" w14:textId="77777777" w:rsidR="00F227FB" w:rsidRDefault="00F227FB" w:rsidP="00C3677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9FFF567" w14:textId="77777777" w:rsidR="00F227FB" w:rsidRDefault="00F227FB" w:rsidP="00C36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B7A2" w14:textId="77777777" w:rsidR="00203B9D" w:rsidRDefault="00203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FD03" w14:textId="77777777" w:rsidR="008F71C3" w:rsidRDefault="008F71C3">
    <w:pPr>
      <w:pStyle w:val="Header"/>
    </w:pPr>
    <w:r>
      <w:t>Reverend Ronald Brown, Sr.</w:t>
    </w:r>
  </w:p>
  <w:p w14:paraId="447A516D" w14:textId="77777777" w:rsidR="00B923F9" w:rsidRDefault="00B923F9">
    <w:pPr>
      <w:pStyle w:val="Header"/>
    </w:pPr>
    <w:r>
      <w:t>July 29, 2016</w:t>
    </w:r>
  </w:p>
  <w:p w14:paraId="2392ADD2" w14:textId="77777777" w:rsidR="008F71C3" w:rsidRDefault="008F71C3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C6D83">
      <w:rPr>
        <w:noProof/>
      </w:rPr>
      <w:t>2</w:t>
    </w:r>
    <w:r>
      <w:rPr>
        <w:noProof/>
      </w:rPr>
      <w:fldChar w:fldCharType="end"/>
    </w:r>
  </w:p>
  <w:p w14:paraId="4D23285B" w14:textId="77777777" w:rsidR="008F71C3" w:rsidRDefault="008F71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087F" w14:textId="77777777" w:rsidR="00203B9D" w:rsidRDefault="00203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04D96"/>
    <w:multiLevelType w:val="hybridMultilevel"/>
    <w:tmpl w:val="93800810"/>
    <w:lvl w:ilvl="0" w:tplc="09FA4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887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E4"/>
    <w:rsid w:val="000A6777"/>
    <w:rsid w:val="000B3AD8"/>
    <w:rsid w:val="000B4498"/>
    <w:rsid w:val="000E14C6"/>
    <w:rsid w:val="001054AB"/>
    <w:rsid w:val="00130624"/>
    <w:rsid w:val="00145DA8"/>
    <w:rsid w:val="001C1A89"/>
    <w:rsid w:val="001C1EB8"/>
    <w:rsid w:val="001D08AE"/>
    <w:rsid w:val="001D35E4"/>
    <w:rsid w:val="001D7269"/>
    <w:rsid w:val="00203B9D"/>
    <w:rsid w:val="00224EB9"/>
    <w:rsid w:val="00225BAE"/>
    <w:rsid w:val="00255A2C"/>
    <w:rsid w:val="002713EA"/>
    <w:rsid w:val="0027622D"/>
    <w:rsid w:val="00286E29"/>
    <w:rsid w:val="002A5A02"/>
    <w:rsid w:val="002B4363"/>
    <w:rsid w:val="002C3546"/>
    <w:rsid w:val="0032546C"/>
    <w:rsid w:val="003272C0"/>
    <w:rsid w:val="00332822"/>
    <w:rsid w:val="003B664A"/>
    <w:rsid w:val="003D62E5"/>
    <w:rsid w:val="00407FAF"/>
    <w:rsid w:val="00416111"/>
    <w:rsid w:val="00451682"/>
    <w:rsid w:val="00483D38"/>
    <w:rsid w:val="004862EA"/>
    <w:rsid w:val="004B19A0"/>
    <w:rsid w:val="005401E7"/>
    <w:rsid w:val="00540CBB"/>
    <w:rsid w:val="0057314B"/>
    <w:rsid w:val="005D57A0"/>
    <w:rsid w:val="0062690D"/>
    <w:rsid w:val="00627D83"/>
    <w:rsid w:val="0064497A"/>
    <w:rsid w:val="0066021C"/>
    <w:rsid w:val="00685EBD"/>
    <w:rsid w:val="00690015"/>
    <w:rsid w:val="006C4FE7"/>
    <w:rsid w:val="006C5BD2"/>
    <w:rsid w:val="006C715F"/>
    <w:rsid w:val="006D7F2E"/>
    <w:rsid w:val="006E1C88"/>
    <w:rsid w:val="0071409C"/>
    <w:rsid w:val="00734238"/>
    <w:rsid w:val="007474DE"/>
    <w:rsid w:val="00783D41"/>
    <w:rsid w:val="007942F0"/>
    <w:rsid w:val="007B589A"/>
    <w:rsid w:val="007E6FC3"/>
    <w:rsid w:val="00863B70"/>
    <w:rsid w:val="00891206"/>
    <w:rsid w:val="008C4B0F"/>
    <w:rsid w:val="008C629A"/>
    <w:rsid w:val="008C6D83"/>
    <w:rsid w:val="008D3097"/>
    <w:rsid w:val="008D5B02"/>
    <w:rsid w:val="008E7256"/>
    <w:rsid w:val="008F71C3"/>
    <w:rsid w:val="009229A5"/>
    <w:rsid w:val="009247EA"/>
    <w:rsid w:val="00925FF5"/>
    <w:rsid w:val="0096191B"/>
    <w:rsid w:val="009E2E28"/>
    <w:rsid w:val="009F4555"/>
    <w:rsid w:val="00A3674C"/>
    <w:rsid w:val="00AA41FC"/>
    <w:rsid w:val="00AE75C2"/>
    <w:rsid w:val="00B06D39"/>
    <w:rsid w:val="00B07585"/>
    <w:rsid w:val="00B535CC"/>
    <w:rsid w:val="00B765D9"/>
    <w:rsid w:val="00B923F9"/>
    <w:rsid w:val="00BD015B"/>
    <w:rsid w:val="00C3677D"/>
    <w:rsid w:val="00C706A5"/>
    <w:rsid w:val="00CB48F3"/>
    <w:rsid w:val="00CD691A"/>
    <w:rsid w:val="00CF0012"/>
    <w:rsid w:val="00D4002F"/>
    <w:rsid w:val="00D510A7"/>
    <w:rsid w:val="00DC654E"/>
    <w:rsid w:val="00E05316"/>
    <w:rsid w:val="00E13315"/>
    <w:rsid w:val="00E27B7D"/>
    <w:rsid w:val="00E9000B"/>
    <w:rsid w:val="00EA09DF"/>
    <w:rsid w:val="00ED03D0"/>
    <w:rsid w:val="00EE6EDE"/>
    <w:rsid w:val="00F10EC5"/>
    <w:rsid w:val="00F227FB"/>
    <w:rsid w:val="00F23B54"/>
    <w:rsid w:val="00F309C6"/>
    <w:rsid w:val="00F31017"/>
    <w:rsid w:val="00F97FE1"/>
    <w:rsid w:val="00FA410B"/>
    <w:rsid w:val="00FF1EA8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E14D"/>
  <w15:docId w15:val="{E01FDB18-BA5E-4A31-B8B4-97905320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24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B4498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224EB9"/>
  </w:style>
  <w:style w:type="paragraph" w:styleId="Header">
    <w:name w:val="header"/>
    <w:basedOn w:val="Normal"/>
    <w:link w:val="HeaderChar"/>
    <w:uiPriority w:val="99"/>
    <w:unhideWhenUsed/>
    <w:rsid w:val="00C36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77D"/>
  </w:style>
  <w:style w:type="paragraph" w:styleId="Footer">
    <w:name w:val="footer"/>
    <w:basedOn w:val="Normal"/>
    <w:link w:val="FooterChar"/>
    <w:uiPriority w:val="99"/>
    <w:unhideWhenUsed/>
    <w:rsid w:val="00C36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77D"/>
  </w:style>
  <w:style w:type="character" w:styleId="Hyperlink">
    <w:name w:val="Hyperlink"/>
    <w:basedOn w:val="DefaultParagraphFont"/>
    <w:uiPriority w:val="99"/>
    <w:unhideWhenUsed/>
    <w:rsid w:val="00CB48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9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1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h61557@ao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wbfelton@yaho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salh.org/black-history-them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7D22-CFF4-4AB3-811E-5D35B99364B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PresentationFormat>14|.DOCX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SIGMA PI PHI, GAMMA OMICRON BOULE MEMORIAL SCHOLARSHIP NOTICE  (01175885.DOCX;1)</vt:lpstr>
    </vt:vector>
  </TitlesOfParts>
  <Company>Ingenuit Technologies, Inc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PI PHI, GAMMA OMICRON BOULE MEMORIAL SCHOLARSHIP NOTICE  (01175885.DOCX;1)</dc:title>
  <dc:subject>01175885-1 /font=6</dc:subject>
  <dc:creator>Laurel Harris</dc:creator>
  <cp:lastModifiedBy>Edwin Narain</cp:lastModifiedBy>
  <cp:revision>2</cp:revision>
  <cp:lastPrinted>2019-01-25T16:20:00Z</cp:lastPrinted>
  <dcterms:created xsi:type="dcterms:W3CDTF">2023-03-10T17:25:00Z</dcterms:created>
  <dcterms:modified xsi:type="dcterms:W3CDTF">2023-03-10T17:25:00Z</dcterms:modified>
</cp:coreProperties>
</file>